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A04" w:rsidRDefault="00211CBB" w:rsidP="00211CBB">
      <w:pPr>
        <w:pStyle w:val="Default"/>
        <w:spacing w:line="276" w:lineRule="auto"/>
        <w:jc w:val="center"/>
        <w:rPr>
          <w:rFonts w:ascii="Times New Roman" w:hAnsi="Times New Roman" w:cs="Times New Roman"/>
          <w:b/>
          <w:u w:val="single"/>
        </w:rPr>
      </w:pPr>
      <w:r>
        <w:rPr>
          <w:rFonts w:ascii="Times New Roman" w:hAnsi="Times New Roman" w:cs="Times New Roman"/>
          <w:b/>
          <w:u w:val="single"/>
        </w:rPr>
        <w:t>RBI NOTIFICATIONS FOR THE PERIOD JULY 2019 TO DECEMBER 2019</w:t>
      </w:r>
    </w:p>
    <w:p w:rsidR="00D81F28" w:rsidRDefault="00D81F28" w:rsidP="00211CBB">
      <w:pPr>
        <w:pStyle w:val="Default"/>
        <w:spacing w:line="276" w:lineRule="auto"/>
        <w:jc w:val="center"/>
        <w:rPr>
          <w:rFonts w:ascii="Times New Roman" w:hAnsi="Times New Roman" w:cs="Times New Roman"/>
          <w:b/>
          <w:u w:val="single"/>
        </w:rPr>
      </w:pPr>
      <w:r>
        <w:rPr>
          <w:rFonts w:ascii="Times New Roman" w:hAnsi="Times New Roman" w:cs="Times New Roman"/>
          <w:b/>
          <w:u w:val="single"/>
        </w:rPr>
        <w:t xml:space="preserve">CAIIB ELECTIVE RURAL BANKING, CO-OPERATIVE BANKING </w:t>
      </w:r>
    </w:p>
    <w:p w:rsidR="00211CBB" w:rsidRPr="006C748F" w:rsidRDefault="00211CBB" w:rsidP="006C748F">
      <w:pPr>
        <w:pStyle w:val="Default"/>
        <w:spacing w:line="276" w:lineRule="auto"/>
        <w:jc w:val="both"/>
        <w:rPr>
          <w:rFonts w:ascii="Times New Roman" w:hAnsi="Times New Roman" w:cs="Times New Roman"/>
          <w:b/>
          <w:u w:val="single"/>
        </w:rPr>
      </w:pPr>
    </w:p>
    <w:p w:rsidR="00EF3E36" w:rsidRPr="006C748F" w:rsidRDefault="006C748F" w:rsidP="006C748F">
      <w:pPr>
        <w:pStyle w:val="Default"/>
        <w:spacing w:line="276" w:lineRule="auto"/>
        <w:jc w:val="both"/>
        <w:rPr>
          <w:rFonts w:ascii="Times New Roman" w:hAnsi="Times New Roman" w:cs="Times New Roman"/>
          <w:color w:val="FF0000"/>
        </w:rPr>
      </w:pPr>
      <w:r w:rsidRPr="006C748F">
        <w:rPr>
          <w:rFonts w:ascii="Times New Roman" w:hAnsi="Times New Roman" w:cs="Times New Roman"/>
          <w:b/>
          <w:color w:val="FF0000"/>
          <w:u w:val="single"/>
        </w:rPr>
        <w:t xml:space="preserve">Notification Dated </w:t>
      </w:r>
      <w:r w:rsidR="00EF3E36" w:rsidRPr="006C748F">
        <w:rPr>
          <w:rFonts w:ascii="Times New Roman" w:hAnsi="Times New Roman" w:cs="Times New Roman"/>
          <w:b/>
          <w:color w:val="FF0000"/>
          <w:u w:val="single"/>
        </w:rPr>
        <w:t xml:space="preserve">July 1st, 2019 - </w:t>
      </w:r>
    </w:p>
    <w:p w:rsidR="00EF3E36" w:rsidRPr="006C748F" w:rsidRDefault="00EF3E36" w:rsidP="006C748F">
      <w:pPr>
        <w:pStyle w:val="Default"/>
        <w:spacing w:line="276" w:lineRule="auto"/>
        <w:jc w:val="both"/>
        <w:rPr>
          <w:rFonts w:ascii="Times New Roman" w:hAnsi="Times New Roman" w:cs="Times New Roman"/>
          <w:b/>
          <w:bCs/>
          <w:color w:val="FF0000"/>
        </w:rPr>
      </w:pPr>
      <w:r w:rsidRPr="006C748F">
        <w:rPr>
          <w:rFonts w:ascii="Times New Roman" w:hAnsi="Times New Roman" w:cs="Times New Roman"/>
          <w:b/>
          <w:bCs/>
          <w:color w:val="FF0000"/>
        </w:rPr>
        <w:t>Deendayal Antyodaya Yojana – National Urban Livelihoods Mission (DAY-NULM)</w:t>
      </w:r>
    </w:p>
    <w:p w:rsidR="00EF3E36" w:rsidRPr="006C748F" w:rsidRDefault="00EF3E36" w:rsidP="006C748F">
      <w:pPr>
        <w:pStyle w:val="Default"/>
        <w:spacing w:line="276" w:lineRule="auto"/>
        <w:jc w:val="both"/>
        <w:rPr>
          <w:rFonts w:ascii="Times New Roman" w:hAnsi="Times New Roman" w:cs="Times New Roman"/>
          <w:b/>
          <w:bCs/>
          <w:color w:val="auto"/>
        </w:rPr>
      </w:pPr>
    </w:p>
    <w:p w:rsidR="00EF3E36" w:rsidRPr="006C748F" w:rsidRDefault="00EF3E3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Please refer to the Master Circular on NULM </w:t>
      </w:r>
      <w:r w:rsidR="006C748F" w:rsidRPr="006C748F">
        <w:rPr>
          <w:rFonts w:ascii="Times New Roman" w:hAnsi="Times New Roman" w:cs="Times New Roman"/>
          <w:color w:val="auto"/>
        </w:rPr>
        <w:t>FIDD.GSSD.CO.BC. No.</w:t>
      </w:r>
      <w:r w:rsidRPr="006C748F">
        <w:rPr>
          <w:rFonts w:ascii="Times New Roman" w:hAnsi="Times New Roman" w:cs="Times New Roman"/>
          <w:color w:val="auto"/>
        </w:rPr>
        <w:t xml:space="preserve">11/09.16.03/2018-19 dated December 06, 2018 containing the instructions / guidelines / directives issued to banks. </w:t>
      </w:r>
    </w:p>
    <w:p w:rsidR="00EF3E36" w:rsidRPr="006C748F" w:rsidRDefault="00EF3E36" w:rsidP="006C748F">
      <w:pPr>
        <w:pStyle w:val="Default"/>
        <w:spacing w:line="276" w:lineRule="auto"/>
        <w:jc w:val="both"/>
        <w:rPr>
          <w:rFonts w:ascii="Times New Roman" w:hAnsi="Times New Roman" w:cs="Times New Roman"/>
          <w:color w:val="auto"/>
        </w:rPr>
      </w:pPr>
    </w:p>
    <w:p w:rsidR="00EF3E36" w:rsidRPr="006C748F" w:rsidRDefault="00EF3E3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2. The Master Circular has been suitably updated by incorporating the instructions on DAY-NULM issued up to June 30, 2019 which are listed in the appendix. The Master Circular has also been placed on RBI website (</w:t>
      </w:r>
      <w:hyperlink r:id="rId6" w:history="1">
        <w:r w:rsidRPr="006C748F">
          <w:rPr>
            <w:rStyle w:val="Hyperlink"/>
            <w:rFonts w:ascii="Times New Roman" w:hAnsi="Times New Roman" w:cs="Times New Roman"/>
            <w:color w:val="auto"/>
          </w:rPr>
          <w:t>https://www.rbi.org.in</w:t>
        </w:r>
      </w:hyperlink>
      <w:r w:rsidRPr="006C748F">
        <w:rPr>
          <w:rFonts w:ascii="Times New Roman" w:hAnsi="Times New Roman" w:cs="Times New Roman"/>
          <w:color w:val="auto"/>
        </w:rPr>
        <w:t>).</w:t>
      </w:r>
    </w:p>
    <w:p w:rsidR="00EF3E36" w:rsidRPr="006C748F" w:rsidRDefault="00EF3E36" w:rsidP="006C748F">
      <w:pPr>
        <w:pStyle w:val="Default"/>
        <w:spacing w:line="276" w:lineRule="auto"/>
        <w:jc w:val="both"/>
        <w:rPr>
          <w:rFonts w:ascii="Times New Roman" w:hAnsi="Times New Roman" w:cs="Times New Roman"/>
          <w:color w:val="FF0000"/>
        </w:rPr>
      </w:pPr>
    </w:p>
    <w:p w:rsidR="008341A3" w:rsidRPr="006C748F" w:rsidRDefault="008341A3" w:rsidP="006C748F">
      <w:pPr>
        <w:pStyle w:val="Default"/>
        <w:spacing w:line="276" w:lineRule="auto"/>
        <w:jc w:val="both"/>
        <w:rPr>
          <w:rFonts w:ascii="Times New Roman" w:hAnsi="Times New Roman" w:cs="Times New Roman"/>
          <w:b/>
          <w:color w:val="FF0000"/>
        </w:rPr>
      </w:pPr>
      <w:bookmarkStart w:id="0" w:name="_GoBack"/>
      <w:bookmarkEnd w:id="0"/>
      <w:r w:rsidRPr="006C748F">
        <w:rPr>
          <w:rFonts w:ascii="Times New Roman" w:hAnsi="Times New Roman" w:cs="Times New Roman"/>
          <w:b/>
          <w:color w:val="FF0000"/>
        </w:rPr>
        <w:t>Notification Dated November 26, 2019</w:t>
      </w:r>
    </w:p>
    <w:p w:rsidR="008341A3" w:rsidRPr="006C748F" w:rsidRDefault="008341A3" w:rsidP="006C748F">
      <w:pPr>
        <w:pStyle w:val="Default"/>
        <w:spacing w:line="276" w:lineRule="auto"/>
        <w:jc w:val="both"/>
        <w:rPr>
          <w:rFonts w:ascii="Times New Roman" w:hAnsi="Times New Roman" w:cs="Times New Roman"/>
          <w:b/>
          <w:color w:val="FF0000"/>
        </w:rPr>
      </w:pPr>
      <w:r w:rsidRPr="006C748F">
        <w:rPr>
          <w:rFonts w:ascii="Times New Roman" w:hAnsi="Times New Roman" w:cs="Times New Roman"/>
          <w:b/>
          <w:bCs/>
          <w:color w:val="FF0000"/>
        </w:rPr>
        <w:t>Master Circular – Deendayal Antyodaya Yojana - National Rural Livelihoods Mission (DAY-NRLM)</w:t>
      </w:r>
    </w:p>
    <w:p w:rsidR="008341A3" w:rsidRPr="006C748F" w:rsidRDefault="008341A3" w:rsidP="006C748F">
      <w:pPr>
        <w:pStyle w:val="Default"/>
        <w:spacing w:line="276" w:lineRule="auto"/>
        <w:jc w:val="both"/>
        <w:rPr>
          <w:rFonts w:ascii="Times New Roman" w:hAnsi="Times New Roman" w:cs="Times New Roman"/>
          <w:color w:val="auto"/>
        </w:rPr>
      </w:pPr>
    </w:p>
    <w:p w:rsidR="008341A3" w:rsidRPr="006C748F" w:rsidRDefault="008341A3"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Please refer to the Master Circular </w:t>
      </w:r>
      <w:proofErr w:type="gramStart"/>
      <w:r w:rsidRPr="006C748F">
        <w:rPr>
          <w:rFonts w:ascii="Times New Roman" w:hAnsi="Times New Roman" w:cs="Times New Roman"/>
          <w:color w:val="auto"/>
        </w:rPr>
        <w:t>FIDD.GSSD.CO.BC.No.</w:t>
      </w:r>
      <w:proofErr w:type="gramEnd"/>
      <w:r w:rsidRPr="006C748F">
        <w:rPr>
          <w:rFonts w:ascii="Times New Roman" w:hAnsi="Times New Roman" w:cs="Times New Roman"/>
          <w:color w:val="auto"/>
        </w:rPr>
        <w:t xml:space="preserve">02/09.01.01/2019-20 dated July 01, 2019 on Deendayal Antyodaya Yojana - National Rural Livelihoods Mission (DAY-NRLM). </w:t>
      </w:r>
    </w:p>
    <w:p w:rsidR="008341A3" w:rsidRPr="006C748F" w:rsidRDefault="008341A3" w:rsidP="006C748F">
      <w:pPr>
        <w:pStyle w:val="Default"/>
        <w:spacing w:line="276" w:lineRule="auto"/>
        <w:jc w:val="both"/>
        <w:rPr>
          <w:rFonts w:ascii="Times New Roman" w:hAnsi="Times New Roman" w:cs="Times New Roman"/>
          <w:color w:val="auto"/>
        </w:rPr>
      </w:pPr>
    </w:p>
    <w:p w:rsidR="008341A3" w:rsidRPr="006C748F" w:rsidRDefault="008341A3"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2. The latest guidelines on Interest Subvention Scheme for the year 2019-20, as advised by Ministry of Rural Development (MoRD), Government of India, have been incorporated in Annex-II of this Master Circular for implementation. </w:t>
      </w:r>
    </w:p>
    <w:p w:rsidR="008341A3" w:rsidRPr="006C748F" w:rsidRDefault="008341A3" w:rsidP="006C748F">
      <w:pPr>
        <w:pStyle w:val="Default"/>
        <w:spacing w:line="276" w:lineRule="auto"/>
        <w:jc w:val="both"/>
        <w:rPr>
          <w:rFonts w:ascii="Times New Roman" w:hAnsi="Times New Roman" w:cs="Times New Roman"/>
          <w:color w:val="auto"/>
        </w:rPr>
      </w:pPr>
    </w:p>
    <w:p w:rsidR="008341A3" w:rsidRPr="006C748F" w:rsidRDefault="008341A3"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3. The Master Circular has been suitably updated by incorporating the instructions on DAY-NRLM </w:t>
      </w:r>
      <w:r w:rsidR="005667A0">
        <w:rPr>
          <w:rFonts w:ascii="Times New Roman" w:hAnsi="Times New Roman" w:cs="Times New Roman"/>
          <w:color w:val="auto"/>
        </w:rPr>
        <w:t>issued up to November 26, 2019.</w:t>
      </w:r>
    </w:p>
    <w:p w:rsidR="008341A3" w:rsidRPr="006C748F" w:rsidRDefault="008341A3" w:rsidP="006C748F">
      <w:pPr>
        <w:pStyle w:val="Default"/>
        <w:spacing w:line="276" w:lineRule="auto"/>
        <w:jc w:val="both"/>
        <w:rPr>
          <w:rFonts w:ascii="Times New Roman" w:hAnsi="Times New Roman" w:cs="Times New Roman"/>
          <w:color w:val="auto"/>
        </w:rPr>
      </w:pPr>
    </w:p>
    <w:p w:rsidR="00301975" w:rsidRPr="004958B1" w:rsidRDefault="00301975"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color w:val="FF0000"/>
          <w:u w:val="single"/>
        </w:rPr>
        <w:t xml:space="preserve">Notification </w:t>
      </w:r>
      <w:r w:rsidR="0054452D" w:rsidRPr="004958B1">
        <w:rPr>
          <w:rFonts w:ascii="Times New Roman" w:hAnsi="Times New Roman" w:cs="Times New Roman"/>
          <w:b/>
          <w:color w:val="FF0000"/>
          <w:u w:val="single"/>
        </w:rPr>
        <w:t>Dated September</w:t>
      </w:r>
      <w:r w:rsidRPr="004958B1">
        <w:rPr>
          <w:rFonts w:ascii="Times New Roman" w:hAnsi="Times New Roman" w:cs="Times New Roman"/>
          <w:b/>
          <w:color w:val="FF0000"/>
          <w:u w:val="single"/>
        </w:rPr>
        <w:t xml:space="preserve"> 4th, 2019 </w:t>
      </w:r>
    </w:p>
    <w:p w:rsidR="00301975" w:rsidRPr="004958B1" w:rsidRDefault="00301975"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bCs/>
          <w:color w:val="FF0000"/>
        </w:rPr>
        <w:t>External Benchmark Based Lending</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As you are aware, Reserve Bank had constituted an Internal Study Group (ISG) to examine various aspects of the marginal cost of funds-based lending rate (MCLR) system. The final report of the ISG was published in October 2017 for public feedback. The ISG observed that internal benchmarks such as the Base rate/MCLR have not delivered effective transmission of monetary policy. The Study Group had, therefore, recommended a switchover to an external benchmark in a time-bound manner.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2. As a step in that direction, it was announced in the fifth bi-monthly Monetary Policy Statement for 2018-19 under ‘Statement on Developmental and Regulatory Policies’ dated December 05, 2018, that all new floating rate personal or retail loans and floating rate loans to Micro and Small Enterprises extended by banks from April 1, 2019 shall be linked to external benchmarks. Subsequently, it was announced in the first bi-monthly Monetary Policy Statement for 2019-20 under ‘Statement on Developmental and Regulatory Policies’ dated </w:t>
      </w:r>
      <w:r w:rsidRPr="006C748F">
        <w:rPr>
          <w:rFonts w:ascii="Times New Roman" w:hAnsi="Times New Roman" w:cs="Times New Roman"/>
          <w:color w:val="auto"/>
        </w:rPr>
        <w:lastRenderedPageBreak/>
        <w:t xml:space="preserve">April 04, 2019 to hold further consultations with stakeholders and work out an effective mechanism for transmission of rates. Based on the consultations with stakeholders, it has now been decided to link all new floating rate personal or retail loans (housing, auto, etc.) and floating rate loans to Micro and Small Enterprises extended by banks with effect from October 01, 2019 to external benchmarks.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3. Accordingly, RBI instructions contained in Master Direction on Interest Rate on Advances issued vide DBR.Dir.No.85/13.03.00/2015-16 dated March 03, 2016 are amended as under: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3.1 The existing paragraph No. 7 of the aforesaid Master Direction stands replaced as under: </w:t>
      </w:r>
    </w:p>
    <w:p w:rsidR="00301975" w:rsidRPr="006C748F" w:rsidRDefault="00301975" w:rsidP="006C748F">
      <w:pPr>
        <w:pStyle w:val="NoSpacing"/>
        <w:spacing w:line="276" w:lineRule="auto"/>
        <w:jc w:val="both"/>
        <w:rPr>
          <w:rFonts w:ascii="Times New Roman" w:hAnsi="Times New Roman" w:cs="Times New Roman"/>
          <w:sz w:val="24"/>
          <w:szCs w:val="24"/>
        </w:rPr>
      </w:pPr>
    </w:p>
    <w:p w:rsidR="00301975" w:rsidRPr="006C748F" w:rsidRDefault="00301975"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(a) All new floating rate personal or retail loans (housing, auto, etc.) and floating rate loans to Micro and Small Enterprises extended by banks from October 01, 2019 shall be benchmarked to one of the following: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 Reserve Bank of India policy repo rate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 Government of India 3-Months Treasury Bill yield published by the Financial Benchmarks India Private Ltd (FBIL)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 Government of India 6-Months Treasury Bill yield published by the FBIL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 Any other benchmark market interest rate published by the FBIL.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(b) Banks are free to offer such external benchmark linked loans to other types of borrowers as well.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(c) In order to ensure transparency, standardisation, and ease of understanding of loan products by borrowers, a bank must adopt a uniform external benchmark within a loan category; in other words, the adoption of multiple benchmarks by the same bank is not allowed within a loan category.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3.2 A new paragraph No.8(e) is added to the aforesaid Master Direction as given below: </w:t>
      </w:r>
    </w:p>
    <w:p w:rsidR="00301975" w:rsidRPr="006C748F" w:rsidRDefault="00301975" w:rsidP="006C748F">
      <w:pPr>
        <w:pStyle w:val="Default"/>
        <w:spacing w:line="276" w:lineRule="auto"/>
        <w:jc w:val="both"/>
        <w:rPr>
          <w:rFonts w:ascii="Times New Roman" w:hAnsi="Times New Roman" w:cs="Times New Roman"/>
          <w:b/>
          <w:bCs/>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
          <w:bCs/>
          <w:color w:val="auto"/>
        </w:rPr>
        <w:t xml:space="preserve">Spread under External Benchmark </w:t>
      </w:r>
    </w:p>
    <w:p w:rsidR="00527838" w:rsidRPr="006C748F" w:rsidRDefault="00527838"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Banks are free to decide the spread over the external benchmark. However, credit risk premium may undergo change only when borrower’s credit assessment undergoes a substantial change, as agreed upon in the loan contract. Further, other components of spread including operating cost could be altered once in three years.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3.3 A new paragraph No. 9(ii) is added to the aforesaid Master Direction as given below: </w:t>
      </w:r>
    </w:p>
    <w:p w:rsidR="00301975" w:rsidRPr="006C748F" w:rsidRDefault="00301975" w:rsidP="006C748F">
      <w:pPr>
        <w:pStyle w:val="Default"/>
        <w:spacing w:line="276" w:lineRule="auto"/>
        <w:jc w:val="both"/>
        <w:rPr>
          <w:rFonts w:ascii="Times New Roman" w:hAnsi="Times New Roman" w:cs="Times New Roman"/>
          <w:b/>
          <w:bCs/>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
          <w:bCs/>
          <w:color w:val="auto"/>
        </w:rPr>
        <w:t xml:space="preserve">Reset of Interest Rates under External Benchmark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The interest rate under external benchmark shall be reset at least once in three months.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3.4 A new paragraph No. 11(ii) is added to the aforesaid Master Direction as given below: </w:t>
      </w:r>
    </w:p>
    <w:p w:rsidR="00301975" w:rsidRPr="006C748F" w:rsidRDefault="00301975" w:rsidP="006C748F">
      <w:pPr>
        <w:pStyle w:val="Default"/>
        <w:spacing w:line="276" w:lineRule="auto"/>
        <w:jc w:val="both"/>
        <w:rPr>
          <w:rFonts w:ascii="Times New Roman" w:hAnsi="Times New Roman" w:cs="Times New Roman"/>
          <w:b/>
          <w:bCs/>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
          <w:bCs/>
          <w:color w:val="auto"/>
        </w:rPr>
        <w:lastRenderedPageBreak/>
        <w:t xml:space="preserve">Transition to External Benchmark from MCLR/Base Rate/BPLR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Existing loans and credit limits linked to the MCLR/Base Rate/BPLR shall continue till repayment or renewal, as the case may be. </w:t>
      </w:r>
    </w:p>
    <w:p w:rsidR="00301975" w:rsidRPr="006C748F" w:rsidRDefault="00301975" w:rsidP="006C748F">
      <w:pPr>
        <w:pStyle w:val="NoSpacing"/>
        <w:spacing w:line="276" w:lineRule="auto"/>
        <w:jc w:val="both"/>
        <w:rPr>
          <w:rFonts w:ascii="Times New Roman" w:hAnsi="Times New Roman" w:cs="Times New Roman"/>
          <w:b/>
          <w:bCs/>
          <w:sz w:val="24"/>
          <w:szCs w:val="24"/>
        </w:rPr>
      </w:pPr>
    </w:p>
    <w:p w:rsidR="00301975" w:rsidRPr="006C748F" w:rsidRDefault="00301975"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b/>
          <w:bCs/>
          <w:sz w:val="24"/>
          <w:szCs w:val="24"/>
        </w:rPr>
        <w:t xml:space="preserve">Provided </w:t>
      </w:r>
      <w:r w:rsidRPr="006C748F">
        <w:rPr>
          <w:rFonts w:ascii="Times New Roman" w:hAnsi="Times New Roman" w:cs="Times New Roman"/>
          <w:sz w:val="24"/>
          <w:szCs w:val="24"/>
        </w:rPr>
        <w:t xml:space="preserve">that floating rate term loans sanctioned to borrowers who, in terms of extant guidelines, are eligible to prepay a floating rate loan without pre-payment charges, shall be eligible for switchover to External Benchmark without any charges/fees, except reasonable administrative/ legal costs. The final rate charged to this category of borrowers, post switchover to external benchmark, shall be same as the rate charged for a new loan of the same category, type, tenor and amount, at the time of origination of the loan. </w:t>
      </w:r>
    </w:p>
    <w:p w:rsidR="00301975" w:rsidRPr="006C748F" w:rsidRDefault="00301975" w:rsidP="006C748F">
      <w:pPr>
        <w:pStyle w:val="Default"/>
        <w:spacing w:line="276" w:lineRule="auto"/>
        <w:jc w:val="both"/>
        <w:rPr>
          <w:rFonts w:ascii="Times New Roman" w:hAnsi="Times New Roman" w:cs="Times New Roman"/>
          <w:b/>
          <w:bCs/>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
          <w:bCs/>
          <w:color w:val="auto"/>
        </w:rPr>
        <w:t xml:space="preserve">Provided </w:t>
      </w:r>
      <w:r w:rsidRPr="006C748F">
        <w:rPr>
          <w:rFonts w:ascii="Times New Roman" w:hAnsi="Times New Roman" w:cs="Times New Roman"/>
          <w:color w:val="auto"/>
        </w:rPr>
        <w:t xml:space="preserve">that other existing borrowers shall have the option to move to External Benchmark at mutually acceptable terms.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
          <w:bCs/>
          <w:color w:val="auto"/>
        </w:rPr>
        <w:t xml:space="preserve">Provided </w:t>
      </w:r>
      <w:r w:rsidRPr="006C748F">
        <w:rPr>
          <w:rFonts w:ascii="Times New Roman" w:hAnsi="Times New Roman" w:cs="Times New Roman"/>
          <w:color w:val="auto"/>
        </w:rPr>
        <w:t xml:space="preserve">that the switch-over shall not be treated as a foreclosure of existing facility.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4. The existing paragraph No. 2 of the aforesaid Master Direction is applicable for Small Finance Banks and Local Area Banks and the para is amended accordingly.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5. The existing paragraph No. 3(a)(iv) of the aforesaid Master Direction stands amended as under: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External benchmark rate means the reference rate which includes: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(a) Reserve Bank of India policy Repo Rate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(b) Government of India 3-Months and 6-Months Treasury Bill yields published by Financial Benchmarks India Private Ltd (FBIL)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(c) Any other benchmark market interest rate published by FBIL.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6. Some of the sub-paragraphs of para 4(a) of the aforesaid Master Direction stands amended as given hereunder: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(ii) All floating rate loans, except those mentioned in Section 13, shall be priced with reference to the benchmark indicated in chapter III.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(iv) When the floating rate advances are linked to an internal benchmark rate, banks shall determine their actual lending rates by adding the components of spread to the internal benchmark rate.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(vi) Interest rates on fixed rate loans of tenor below 3 years shall not be less than the benchmark rate for similar tenor and shall be as per directions contained in Section 13(d)(v).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7. A new paragraph No. 4(a)(xi) is added to the aforesaid Master Direction as indicated below: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There shall be no lending below the benchmark rate for a particular maturity for all loans linked to that benchmark.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8. The existing paragraph No. 6(a)(i) of the aforesaid Master Direction stands amended as under: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All floating rate rupee loans sanctioned and renewed between July 1, 2010 and March 31, 2016 shall be priced with reference to the Base Rate which will be the internal benchmark for such purposes.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9. The existing paragraph No. 6(b)(i) of the aforesaid Master Direction stands amended as under: </w:t>
      </w:r>
    </w:p>
    <w:p w:rsidR="00301975" w:rsidRPr="006C748F" w:rsidRDefault="00301975" w:rsidP="006C748F">
      <w:pPr>
        <w:pStyle w:val="NoSpacing"/>
        <w:spacing w:line="276" w:lineRule="auto"/>
        <w:jc w:val="both"/>
        <w:rPr>
          <w:rFonts w:ascii="Times New Roman" w:hAnsi="Times New Roman" w:cs="Times New Roman"/>
          <w:sz w:val="24"/>
          <w:szCs w:val="24"/>
        </w:rPr>
      </w:pPr>
    </w:p>
    <w:p w:rsidR="00301975" w:rsidRPr="006C748F" w:rsidRDefault="00301975"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All floating rate rupee loans sanctioned and renewed w.e.f. April 1, 2016 shall be priced with reference to the Marginal Cost of Funds based Lending Rate (MCLR) which will be the internal benchmark for such purposes subject to the provisions contained in paragraph 7 of this Master Direction.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10. A new paragraph No. 9 (i)(d) is added to the aforesaid Master Direction as indicated below: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The periodicity of the reset under MCLR shall correspond to the tenor/maturity of the MCLR to which the loan is linked.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11. The following part of the sub-paragraphs (a), (b), (c) of para 13 of the aforesaid Master Direction as indicated hereunder stands deleted: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“shall be exempted from being linked to Base rate/MCLR as the benchmark for determining interest rate’’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12. The following part of the paragraph 13(d) of the aforesaid Master Direction as indicated hereunder stands deleted: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“shall be priced without being linked to Base rate/MCLR as the benchmark for determining interest rate’’</w:t>
      </w:r>
    </w:p>
    <w:p w:rsidR="00301975" w:rsidRPr="006C748F" w:rsidRDefault="00301975" w:rsidP="006C748F">
      <w:pPr>
        <w:autoSpaceDE w:val="0"/>
        <w:autoSpaceDN w:val="0"/>
        <w:adjustRightInd w:val="0"/>
        <w:spacing w:after="0" w:line="276" w:lineRule="auto"/>
        <w:jc w:val="both"/>
        <w:rPr>
          <w:rFonts w:ascii="Times New Roman" w:hAnsi="Times New Roman" w:cs="Times New Roman"/>
          <w:color w:val="000000"/>
          <w:sz w:val="24"/>
          <w:szCs w:val="24"/>
        </w:rPr>
      </w:pPr>
    </w:p>
    <w:p w:rsidR="00237CB6" w:rsidRPr="004958B1" w:rsidRDefault="00237CB6" w:rsidP="006C748F">
      <w:pPr>
        <w:spacing w:line="276" w:lineRule="auto"/>
        <w:jc w:val="both"/>
        <w:rPr>
          <w:rFonts w:ascii="Times New Roman" w:hAnsi="Times New Roman" w:cs="Times New Roman"/>
          <w:b/>
          <w:color w:val="FF0000"/>
          <w:sz w:val="24"/>
          <w:szCs w:val="24"/>
          <w:u w:val="single"/>
        </w:rPr>
      </w:pPr>
      <w:r w:rsidRPr="004958B1">
        <w:rPr>
          <w:rFonts w:ascii="Times New Roman" w:hAnsi="Times New Roman" w:cs="Times New Roman"/>
          <w:b/>
          <w:color w:val="FF0000"/>
          <w:sz w:val="24"/>
          <w:szCs w:val="24"/>
          <w:u w:val="single"/>
        </w:rPr>
        <w:t>NOTIFICATION DATED 20</w:t>
      </w:r>
      <w:r w:rsidRPr="004958B1">
        <w:rPr>
          <w:rFonts w:ascii="Times New Roman" w:hAnsi="Times New Roman" w:cs="Times New Roman"/>
          <w:b/>
          <w:color w:val="FF0000"/>
          <w:sz w:val="24"/>
          <w:szCs w:val="24"/>
          <w:u w:val="single"/>
          <w:vertAlign w:val="superscript"/>
        </w:rPr>
        <w:t>th</w:t>
      </w:r>
      <w:r w:rsidRPr="004958B1">
        <w:rPr>
          <w:rFonts w:ascii="Times New Roman" w:hAnsi="Times New Roman" w:cs="Times New Roman"/>
          <w:b/>
          <w:color w:val="FF0000"/>
          <w:sz w:val="24"/>
          <w:szCs w:val="24"/>
          <w:u w:val="single"/>
        </w:rPr>
        <w:t xml:space="preserve"> SEPTEMBER 2019- HARMONISATION OF TURN AROUND TIME (TAT) AND CUSTOMER COMPENSATION FOR FAILED TRANSACTIONS USING AUTHORISED PAYMENT SYSTEMS</w:t>
      </w:r>
    </w:p>
    <w:p w:rsidR="00237CB6" w:rsidRPr="006C748F" w:rsidRDefault="00237CB6"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Please refer to the Statement on Developmental and Regulatory policies issued as part of Monetary Policy statement dated April 4, 2019 wherein it was proposed that the Reserve Bank would put in place a framework on Turn Around Time (TAT) for resolution of customer complaints and compensation framework across all authorised payment systems.</w:t>
      </w:r>
      <w:r w:rsidRPr="006C748F">
        <w:rPr>
          <w:rFonts w:ascii="Times New Roman" w:hAnsi="Times New Roman" w:cs="Times New Roman"/>
          <w:sz w:val="24"/>
          <w:szCs w:val="24"/>
        </w:rPr>
        <w:cr/>
        <w:t>2. It has been observed that a large number of customer complaints emanate on account of unsuccessful or ‘failed’ transactions. Failure could be on account of various factors not directly attributable to the customer such as disruption of communication links, non-availability of cash in ATMs, time-out of sessions, non-credit to beneficiary’s account due to various causes, etc. Rectification / Compensation paid to the customer for these ‘failed’ transactions is not uniform.</w:t>
      </w:r>
    </w:p>
    <w:p w:rsidR="00237CB6" w:rsidRPr="006C748F" w:rsidRDefault="00237CB6"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3. After consultation with various stakeholders, the framework for TAT for failed transactions and compensation therefor has been finalised which will result in customer confidence and </w:t>
      </w:r>
      <w:r w:rsidRPr="006C748F">
        <w:rPr>
          <w:rFonts w:ascii="Times New Roman" w:hAnsi="Times New Roman" w:cs="Times New Roman"/>
          <w:sz w:val="24"/>
          <w:szCs w:val="24"/>
        </w:rPr>
        <w:lastRenderedPageBreak/>
        <w:t>bring in uniformity in processing of the failed transactions. The same is enclosed as Annex to this circular.</w:t>
      </w:r>
      <w:r w:rsidRPr="006C748F">
        <w:rPr>
          <w:rFonts w:ascii="Times New Roman" w:hAnsi="Times New Roman" w:cs="Times New Roman"/>
          <w:sz w:val="24"/>
          <w:szCs w:val="24"/>
        </w:rPr>
        <w:cr/>
        <w:t xml:space="preserve">4. It may be noted </w:t>
      </w:r>
      <w:proofErr w:type="gramStart"/>
      <w:r w:rsidRPr="006C748F">
        <w:rPr>
          <w:rFonts w:ascii="Times New Roman" w:hAnsi="Times New Roman" w:cs="Times New Roman"/>
          <w:sz w:val="24"/>
          <w:szCs w:val="24"/>
        </w:rPr>
        <w:t>that :</w:t>
      </w:r>
      <w:proofErr w:type="gramEnd"/>
      <w:r w:rsidRPr="006C748F">
        <w:rPr>
          <w:rFonts w:ascii="Times New Roman" w:hAnsi="Times New Roman" w:cs="Times New Roman"/>
          <w:sz w:val="24"/>
          <w:szCs w:val="24"/>
        </w:rPr>
        <w:t xml:space="preserve"> the prescribed TAT is the outer limit for resolution of failed transactions; and the banks and other operators / system participants shall endeavour towards quicker resolution of such failed transactions.</w:t>
      </w:r>
    </w:p>
    <w:p w:rsidR="00237CB6" w:rsidRPr="006C748F" w:rsidRDefault="00237CB6"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5. Wherever financial compensation is involved, the same shall be effected to the customer’s account </w:t>
      </w:r>
      <w:proofErr w:type="spellStart"/>
      <w:r w:rsidRPr="006C748F">
        <w:rPr>
          <w:rFonts w:ascii="Times New Roman" w:hAnsi="Times New Roman" w:cs="Times New Roman"/>
          <w:sz w:val="24"/>
          <w:szCs w:val="24"/>
        </w:rPr>
        <w:t>suo</w:t>
      </w:r>
      <w:proofErr w:type="spellEnd"/>
      <w:r w:rsidRPr="006C748F">
        <w:rPr>
          <w:rFonts w:ascii="Times New Roman" w:hAnsi="Times New Roman" w:cs="Times New Roman"/>
          <w:sz w:val="24"/>
          <w:szCs w:val="24"/>
        </w:rPr>
        <w:t xml:space="preserve"> moto, without waiting for a complaint or claim from the customer.</w:t>
      </w:r>
    </w:p>
    <w:p w:rsidR="00237CB6" w:rsidRPr="006C748F" w:rsidRDefault="00237CB6"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6. Customers who do not get the benefit of redress of the failure as defined in the TAT, can register a complaint to the Banking Ombudsman of Reserve Bank of India.</w:t>
      </w:r>
    </w:p>
    <w:p w:rsidR="00237CB6" w:rsidRPr="006C748F" w:rsidRDefault="00237CB6"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7. This directive is issued under Section 10(2) read with Section 18 of the Payment and Settlement Systems Act, 2007 (Act 51 of 2007) and shall come into effect from October 15, 2019.</w:t>
      </w:r>
    </w:p>
    <w:p w:rsidR="009C5C0A" w:rsidRPr="004958B1" w:rsidRDefault="009C5C0A"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color w:val="FF0000"/>
          <w:u w:val="single"/>
        </w:rPr>
        <w:t xml:space="preserve">Notification Dated September 20, 2019  </w:t>
      </w:r>
    </w:p>
    <w:p w:rsidR="009C5C0A" w:rsidRPr="004958B1" w:rsidRDefault="009C5C0A"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bCs/>
          <w:color w:val="FF0000"/>
        </w:rPr>
        <w:t>Priority Sector Lending (PSL) – Classification of Exports under priority Sector</w:t>
      </w:r>
    </w:p>
    <w:p w:rsidR="009C5C0A" w:rsidRPr="006C748F" w:rsidRDefault="009C5C0A" w:rsidP="006C748F">
      <w:pPr>
        <w:pStyle w:val="Default"/>
        <w:spacing w:line="276" w:lineRule="auto"/>
        <w:jc w:val="both"/>
        <w:rPr>
          <w:rFonts w:ascii="Times New Roman" w:hAnsi="Times New Roman" w:cs="Times New Roman"/>
          <w:color w:val="auto"/>
        </w:rPr>
      </w:pPr>
    </w:p>
    <w:p w:rsidR="009C5C0A" w:rsidRPr="006C748F" w:rsidRDefault="009C5C0A"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In order to boost credit to export sector, it has been decided to effect following changes in para 8 of the “Master Direction on Priority Sector Lending-targets and Classification” dated July 7, 2016 (updated as on December 4, 2018) pertaining to export credit. </w:t>
      </w:r>
    </w:p>
    <w:p w:rsidR="009C5C0A" w:rsidRPr="006C748F" w:rsidRDefault="009C5C0A" w:rsidP="006C748F">
      <w:pPr>
        <w:pStyle w:val="Default"/>
        <w:spacing w:after="56" w:line="276" w:lineRule="auto"/>
        <w:jc w:val="both"/>
        <w:rPr>
          <w:rFonts w:ascii="Times New Roman" w:hAnsi="Times New Roman" w:cs="Times New Roman"/>
          <w:color w:val="auto"/>
        </w:rPr>
      </w:pPr>
    </w:p>
    <w:p w:rsidR="009C5C0A" w:rsidRPr="006C748F" w:rsidRDefault="009C5C0A" w:rsidP="006C748F">
      <w:pPr>
        <w:pStyle w:val="Default"/>
        <w:spacing w:after="56" w:line="276" w:lineRule="auto"/>
        <w:jc w:val="both"/>
        <w:rPr>
          <w:rFonts w:ascii="Times New Roman" w:hAnsi="Times New Roman" w:cs="Times New Roman"/>
          <w:color w:val="auto"/>
        </w:rPr>
      </w:pPr>
      <w:r w:rsidRPr="006C748F">
        <w:rPr>
          <w:rFonts w:ascii="Times New Roman" w:hAnsi="Times New Roman" w:cs="Times New Roman"/>
          <w:color w:val="auto"/>
        </w:rPr>
        <w:t xml:space="preserve">(i) Enhance the sanctioned limit, for classification of export credit under PSL, </w:t>
      </w:r>
      <w:proofErr w:type="gramStart"/>
      <w:r w:rsidRPr="006C748F">
        <w:rPr>
          <w:rFonts w:ascii="Times New Roman" w:hAnsi="Times New Roman" w:cs="Times New Roman"/>
          <w:color w:val="auto"/>
        </w:rPr>
        <w:t>from ₹ 250</w:t>
      </w:r>
      <w:proofErr w:type="gramEnd"/>
      <w:r w:rsidRPr="006C748F">
        <w:rPr>
          <w:rFonts w:ascii="Times New Roman" w:hAnsi="Times New Roman" w:cs="Times New Roman"/>
          <w:color w:val="auto"/>
        </w:rPr>
        <w:t xml:space="preserve"> million per borrower to ₹ 400 million per borrower. </w:t>
      </w:r>
    </w:p>
    <w:p w:rsidR="009C5C0A" w:rsidRPr="006C748F" w:rsidRDefault="009C5C0A" w:rsidP="006C748F">
      <w:pPr>
        <w:pStyle w:val="Default"/>
        <w:spacing w:line="276" w:lineRule="auto"/>
        <w:jc w:val="both"/>
        <w:rPr>
          <w:rFonts w:ascii="Times New Roman" w:hAnsi="Times New Roman" w:cs="Times New Roman"/>
          <w:color w:val="auto"/>
        </w:rPr>
      </w:pPr>
    </w:p>
    <w:p w:rsidR="009C5C0A" w:rsidRPr="006C748F" w:rsidRDefault="009C5C0A"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(ii) Remove the existing criteria of </w:t>
      </w:r>
      <w:r w:rsidRPr="006C748F">
        <w:rPr>
          <w:rFonts w:ascii="Times New Roman" w:hAnsi="Times New Roman" w:cs="Times New Roman"/>
          <w:i/>
          <w:iCs/>
          <w:color w:val="auto"/>
        </w:rPr>
        <w:t xml:space="preserve">‘units having turnover of up </w:t>
      </w:r>
      <w:proofErr w:type="gramStart"/>
      <w:r w:rsidRPr="006C748F">
        <w:rPr>
          <w:rFonts w:ascii="Times New Roman" w:hAnsi="Times New Roman" w:cs="Times New Roman"/>
          <w:i/>
          <w:iCs/>
          <w:color w:val="auto"/>
        </w:rPr>
        <w:t>to ₹ 1</w:t>
      </w:r>
      <w:proofErr w:type="gramEnd"/>
      <w:r w:rsidRPr="006C748F">
        <w:rPr>
          <w:rFonts w:ascii="Times New Roman" w:hAnsi="Times New Roman" w:cs="Times New Roman"/>
          <w:i/>
          <w:iCs/>
          <w:color w:val="auto"/>
        </w:rPr>
        <w:t xml:space="preserve"> billion’ </w:t>
      </w:r>
    </w:p>
    <w:p w:rsidR="009C5C0A" w:rsidRPr="006C748F" w:rsidRDefault="009C5C0A" w:rsidP="006C748F">
      <w:pPr>
        <w:pStyle w:val="Default"/>
        <w:spacing w:line="276" w:lineRule="auto"/>
        <w:jc w:val="both"/>
        <w:rPr>
          <w:rFonts w:ascii="Times New Roman" w:hAnsi="Times New Roman" w:cs="Times New Roman"/>
          <w:color w:val="auto"/>
        </w:rPr>
      </w:pPr>
    </w:p>
    <w:p w:rsidR="009C5C0A" w:rsidRPr="006C748F" w:rsidRDefault="009C5C0A"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2. The existing guidelines for domestic scheduled commercial banks to classify ‘Incremental export credit over corresponding date of the preceding year, </w:t>
      </w:r>
      <w:proofErr w:type="spellStart"/>
      <w:r w:rsidRPr="006C748F">
        <w:rPr>
          <w:rFonts w:ascii="Times New Roman" w:hAnsi="Times New Roman" w:cs="Times New Roman"/>
          <w:color w:val="auto"/>
        </w:rPr>
        <w:t>upto</w:t>
      </w:r>
      <w:proofErr w:type="spellEnd"/>
      <w:r w:rsidRPr="006C748F">
        <w:rPr>
          <w:rFonts w:ascii="Times New Roman" w:hAnsi="Times New Roman" w:cs="Times New Roman"/>
          <w:color w:val="auto"/>
        </w:rPr>
        <w:t xml:space="preserve"> 2 per cent of ANBC or Credit Equivalent Amount of Off-Balance Sheet Exposure, whichever is higher’ under PSL will continue to be applicable subject to the criteria mentioned at (i) above. </w:t>
      </w:r>
    </w:p>
    <w:p w:rsidR="009C5C0A" w:rsidRPr="006C748F" w:rsidRDefault="009C5C0A" w:rsidP="006C748F">
      <w:pPr>
        <w:pStyle w:val="Default"/>
        <w:spacing w:line="276" w:lineRule="auto"/>
        <w:jc w:val="both"/>
        <w:rPr>
          <w:rFonts w:ascii="Times New Roman" w:hAnsi="Times New Roman" w:cs="Times New Roman"/>
          <w:color w:val="auto"/>
        </w:rPr>
      </w:pPr>
    </w:p>
    <w:p w:rsidR="009C5C0A" w:rsidRPr="006C748F" w:rsidRDefault="009C5C0A"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3. There is no change in the present instructions in respect of foreign banks.</w:t>
      </w:r>
    </w:p>
    <w:p w:rsidR="009C5C0A" w:rsidRPr="006C748F" w:rsidRDefault="009C5C0A" w:rsidP="006C748F">
      <w:pPr>
        <w:pStyle w:val="Default"/>
        <w:spacing w:line="276" w:lineRule="auto"/>
        <w:jc w:val="both"/>
        <w:rPr>
          <w:rFonts w:ascii="Times New Roman" w:hAnsi="Times New Roman" w:cs="Times New Roman"/>
          <w:color w:val="auto"/>
        </w:rPr>
      </w:pPr>
    </w:p>
    <w:p w:rsidR="009C5C0A" w:rsidRPr="006C748F" w:rsidRDefault="009C5C0A" w:rsidP="006C748F">
      <w:pPr>
        <w:pStyle w:val="Default"/>
        <w:spacing w:line="276" w:lineRule="auto"/>
        <w:jc w:val="both"/>
        <w:rPr>
          <w:rFonts w:ascii="Times New Roman" w:hAnsi="Times New Roman" w:cs="Times New Roman"/>
          <w:color w:val="auto"/>
        </w:rPr>
      </w:pPr>
    </w:p>
    <w:p w:rsidR="00734259" w:rsidRPr="004958B1" w:rsidRDefault="00734259"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rPr>
        <w:t>Notification Dated October 30, 2019 -</w:t>
      </w:r>
      <w:r w:rsidRPr="004958B1">
        <w:rPr>
          <w:rFonts w:ascii="Times New Roman" w:hAnsi="Times New Roman" w:cs="Times New Roman"/>
          <w:color w:val="FF0000"/>
        </w:rPr>
        <w:t xml:space="preserve"> </w:t>
      </w:r>
    </w:p>
    <w:p w:rsidR="00734259" w:rsidRPr="004958B1" w:rsidRDefault="00734259"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bCs/>
          <w:color w:val="FF0000"/>
        </w:rPr>
        <w:t>Sovereign Gold Bond (SGB) Scheme - Marking of lien</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As you are aware, the Sovereign Gold Bonds may be used as collateral by both banks and non-bank institutions and the creation of pledge, hypothecation or lien on the bonds shall be governed by Section 28 of the Government Securities Act, 2006 and Chapter VII of the Government Securities Regulations, 2007. In this regard, we have been approached by several banks and non-bank entities desirous of knowing whether the Certificate of Holding (COH) </w:t>
      </w:r>
      <w:r w:rsidRPr="006C748F">
        <w:rPr>
          <w:rFonts w:ascii="Times New Roman" w:hAnsi="Times New Roman" w:cs="Times New Roman"/>
        </w:rPr>
        <w:lastRenderedPageBreak/>
        <w:t xml:space="preserve">held by a bond holder is a valid proof of its title and the procedure for marking lien on the said bond.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2. In this regard, we clarify that SGBs are issued in the form of Government of India Stock and are held either as Bond Ledger Account (BLA) in RBI’s E-</w:t>
      </w:r>
      <w:proofErr w:type="spellStart"/>
      <w:r w:rsidRPr="006C748F">
        <w:rPr>
          <w:rFonts w:ascii="Times New Roman" w:hAnsi="Times New Roman" w:cs="Times New Roman"/>
        </w:rPr>
        <w:t>Kuber</w:t>
      </w:r>
      <w:proofErr w:type="spellEnd"/>
      <w:r w:rsidRPr="006C748F">
        <w:rPr>
          <w:rFonts w:ascii="Times New Roman" w:hAnsi="Times New Roman" w:cs="Times New Roman"/>
        </w:rPr>
        <w:t xml:space="preserve"> system or as dematerialised bond with the Depository. The investors are issued COH as a proof of investment if the bonds are held in BLA account with RBI. In case the bonds are held in dematerialized forms, the title of a holder could be verified from the </w:t>
      </w:r>
      <w:proofErr w:type="spellStart"/>
      <w:r w:rsidRPr="006C748F">
        <w:rPr>
          <w:rFonts w:ascii="Times New Roman" w:hAnsi="Times New Roman" w:cs="Times New Roman"/>
        </w:rPr>
        <w:t>demat</w:t>
      </w:r>
      <w:proofErr w:type="spellEnd"/>
      <w:r w:rsidRPr="006C748F">
        <w:rPr>
          <w:rFonts w:ascii="Times New Roman" w:hAnsi="Times New Roman" w:cs="Times New Roman"/>
        </w:rPr>
        <w:t xml:space="preserve"> statements provided by Depositories.</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3. As regards the lien marking rights in case of bonds held in BLA form, the same is provided to the banks. It may be mentioned that in order to create a valid lien, the lien marking should be recorded by the banks extending the loan by using the facility provided on the E-</w:t>
      </w:r>
      <w:proofErr w:type="spellStart"/>
      <w:r w:rsidRPr="006C748F">
        <w:rPr>
          <w:rFonts w:ascii="Times New Roman" w:hAnsi="Times New Roman" w:cs="Times New Roman"/>
        </w:rPr>
        <w:t>Kuber</w:t>
      </w:r>
      <w:proofErr w:type="spellEnd"/>
      <w:r w:rsidRPr="006C748F">
        <w:rPr>
          <w:rFonts w:ascii="Times New Roman" w:hAnsi="Times New Roman" w:cs="Times New Roman"/>
        </w:rPr>
        <w:t xml:space="preserve"> portal. In case of dematerialized bonds, the lien is marked by the depositories in line with the practice followed for stocks and shares which are accepted as collateral by the banks. The detailed procedure for marking of lien is provided in the user manual on our website under the link for guidance please see the User Manual available at our website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4. We also advise that the information on lien marking facility in respect of SGBs as described above may be given wide dissemination amongst the personnel in operation in the organisation so that customers are not inconvenienced on account of lack of knowledge among the staff.</w:t>
      </w:r>
    </w:p>
    <w:p w:rsidR="00734259" w:rsidRPr="006C748F" w:rsidRDefault="00734259" w:rsidP="006C748F">
      <w:pPr>
        <w:spacing w:line="276" w:lineRule="auto"/>
        <w:jc w:val="both"/>
        <w:rPr>
          <w:rFonts w:ascii="Times New Roman" w:hAnsi="Times New Roman" w:cs="Times New Roman"/>
          <w:sz w:val="24"/>
          <w:szCs w:val="24"/>
        </w:rPr>
      </w:pPr>
    </w:p>
    <w:p w:rsidR="0044166F" w:rsidRPr="004958B1" w:rsidRDefault="0044166F"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rPr>
        <w:t>Notification Dated November 11, 2019 –</w:t>
      </w:r>
      <w:r w:rsidRPr="004958B1">
        <w:rPr>
          <w:rFonts w:ascii="Times New Roman" w:hAnsi="Times New Roman" w:cs="Times New Roman"/>
          <w:color w:val="FF0000"/>
        </w:rPr>
        <w:t xml:space="preserve"> </w:t>
      </w:r>
    </w:p>
    <w:p w:rsidR="0044166F" w:rsidRPr="004958B1" w:rsidRDefault="0044166F"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bCs/>
          <w:color w:val="FF0000"/>
        </w:rPr>
        <w:t>Withdrawal of exemptions granted to Housing Finance Institutions</w:t>
      </w:r>
    </w:p>
    <w:p w:rsidR="0044166F" w:rsidRPr="006C748F" w:rsidRDefault="0044166F" w:rsidP="006C748F">
      <w:pPr>
        <w:pStyle w:val="Default"/>
        <w:spacing w:line="276" w:lineRule="auto"/>
        <w:jc w:val="both"/>
        <w:rPr>
          <w:rFonts w:ascii="Times New Roman" w:hAnsi="Times New Roman" w:cs="Times New Roman"/>
        </w:rPr>
      </w:pPr>
    </w:p>
    <w:p w:rsidR="0044166F" w:rsidRPr="006C748F" w:rsidRDefault="0044166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Para 1 of our Master Direction – Exemptions from the provisions of RBI Act, 1934. </w:t>
      </w:r>
    </w:p>
    <w:p w:rsidR="0044166F" w:rsidRPr="006C748F" w:rsidRDefault="0044166F" w:rsidP="006C748F">
      <w:pPr>
        <w:pStyle w:val="Default"/>
        <w:spacing w:line="276" w:lineRule="auto"/>
        <w:jc w:val="both"/>
        <w:rPr>
          <w:rFonts w:ascii="Times New Roman" w:hAnsi="Times New Roman" w:cs="Times New Roman"/>
        </w:rPr>
      </w:pPr>
    </w:p>
    <w:p w:rsidR="0044166F" w:rsidRPr="006C748F" w:rsidRDefault="0044166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Housing Finance Institutions as defined under Clause (d) of Section 2 of the National Housing Bank Act, 1987 are currently exempt from the provisions of Chapter IIIB of Reserve Bank of India Act, 1934. On a review, it has been decided to withdraw these exemptions and make the provisions of Chapter IIIB except Section 45-IA of Reserve Bank of India Act, 1934, applicable to them. </w:t>
      </w:r>
    </w:p>
    <w:p w:rsidR="0044166F" w:rsidRPr="006C748F" w:rsidRDefault="0044166F" w:rsidP="006C748F">
      <w:pPr>
        <w:pStyle w:val="Default"/>
        <w:spacing w:line="276" w:lineRule="auto"/>
        <w:jc w:val="both"/>
        <w:rPr>
          <w:rFonts w:ascii="Times New Roman" w:hAnsi="Times New Roman" w:cs="Times New Roman"/>
        </w:rPr>
      </w:pPr>
    </w:p>
    <w:p w:rsidR="0044166F" w:rsidRPr="006C748F" w:rsidRDefault="0044166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3. Master Direction – Exemptions from the provisions of RBI Act, 1934 has been updated accordingly. </w:t>
      </w:r>
    </w:p>
    <w:p w:rsidR="0044166F" w:rsidRPr="006C748F" w:rsidRDefault="0044166F" w:rsidP="006C748F">
      <w:pPr>
        <w:pStyle w:val="Default"/>
        <w:spacing w:line="276" w:lineRule="auto"/>
        <w:jc w:val="both"/>
        <w:rPr>
          <w:rFonts w:ascii="Times New Roman" w:hAnsi="Times New Roman" w:cs="Times New Roman"/>
        </w:rPr>
      </w:pPr>
    </w:p>
    <w:p w:rsidR="0044166F" w:rsidRPr="006C748F" w:rsidRDefault="0044166F" w:rsidP="006C748F">
      <w:pPr>
        <w:pStyle w:val="Default"/>
        <w:spacing w:line="276" w:lineRule="auto"/>
        <w:jc w:val="both"/>
        <w:rPr>
          <w:rFonts w:ascii="Times New Roman" w:hAnsi="Times New Roman" w:cs="Times New Roman"/>
        </w:rPr>
      </w:pPr>
      <w:r w:rsidRPr="006C748F">
        <w:rPr>
          <w:rFonts w:ascii="Times New Roman" w:hAnsi="Times New Roman" w:cs="Times New Roman"/>
        </w:rPr>
        <w:t>4. Necessary notification withdrawing the exemption under Section 45 NC of the RBI Act, 1934 shall be issued separately.</w:t>
      </w:r>
    </w:p>
    <w:p w:rsidR="0044166F" w:rsidRPr="006C748F" w:rsidRDefault="0044166F" w:rsidP="006C748F">
      <w:pPr>
        <w:pStyle w:val="Default"/>
        <w:spacing w:line="276" w:lineRule="auto"/>
        <w:jc w:val="both"/>
        <w:rPr>
          <w:rFonts w:ascii="Times New Roman" w:hAnsi="Times New Roman" w:cs="Times New Roman"/>
        </w:rPr>
      </w:pPr>
    </w:p>
    <w:p w:rsidR="0044166F" w:rsidRPr="004958B1" w:rsidRDefault="0044166F" w:rsidP="006C748F">
      <w:pPr>
        <w:spacing w:line="276" w:lineRule="auto"/>
        <w:jc w:val="both"/>
        <w:rPr>
          <w:rFonts w:ascii="Times New Roman" w:hAnsi="Times New Roman" w:cs="Times New Roman"/>
          <w:b/>
          <w:color w:val="FF0000"/>
          <w:sz w:val="24"/>
          <w:szCs w:val="24"/>
          <w:u w:val="single"/>
        </w:rPr>
      </w:pPr>
      <w:r w:rsidRPr="004958B1">
        <w:rPr>
          <w:rFonts w:ascii="Times New Roman" w:hAnsi="Times New Roman" w:cs="Times New Roman"/>
          <w:b/>
          <w:color w:val="FF0000"/>
          <w:sz w:val="24"/>
          <w:szCs w:val="24"/>
          <w:u w:val="single"/>
        </w:rPr>
        <w:t>NOTIFICATION DATED 6</w:t>
      </w:r>
      <w:r w:rsidRPr="004958B1">
        <w:rPr>
          <w:rFonts w:ascii="Times New Roman" w:hAnsi="Times New Roman" w:cs="Times New Roman"/>
          <w:b/>
          <w:color w:val="FF0000"/>
          <w:sz w:val="24"/>
          <w:szCs w:val="24"/>
          <w:u w:val="single"/>
          <w:vertAlign w:val="superscript"/>
        </w:rPr>
        <w:t>th</w:t>
      </w:r>
      <w:r w:rsidRPr="004958B1">
        <w:rPr>
          <w:rFonts w:ascii="Times New Roman" w:hAnsi="Times New Roman" w:cs="Times New Roman"/>
          <w:b/>
          <w:color w:val="FF0000"/>
          <w:sz w:val="24"/>
          <w:szCs w:val="24"/>
          <w:u w:val="single"/>
        </w:rPr>
        <w:t xml:space="preserve"> DECEMBER 2019 - AVAILABILITY OF NATIONAL ELECTRONIC FUNDS TRANSFER (NEFT) SYSTEM ON 24X7 BASIS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Please refer to our circular DPSS (CO) RPPD No.510/04.03.01/2019-20 dated August 30, 2019 regarding availability of NEFT on a 24x7 basis.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lastRenderedPageBreak/>
        <w:t>2. It has been decided that the above facility shall be made available from December 16, 2019 with the first settlement taking place after 00:30 hours on December 16, 2019 (i.e. night of December 15, 2019).</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3. Member banks are advised to note the following:</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a. There will be 48 half-hourly batches every day. The settlement of first batch will commence after 00:30 hours and the last batch will end at 00:00 hours.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b. The system will be available on all days of the year, including holidays.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c. NEFT transactions after usual banking hours of banks are expected to be automated transactions initiated using ‘Straight Through Processing (STP)’ modes by the banks.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d. The existing discipline for crediting beneficiary’s account or returning the transaction (within 2 hours of settlement of the respective batch) to originating bank will continue.</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e. Member banks will ensure sending of positive confirmation message (N10) for all NEFT credits.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f. All provisions of NEFT procedural guidelines will be applicable for NEFT 24x7 transactions as well.</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4. Member banks are expected to keep adequate liquidity in their current account with Reserve Bank of India at all times to facilitate successful posting of NEFT batch settlements.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5. Member banks are also advised to initiate necessary action and ensure availability of all necessary infrastructural requirements at their end for providing seamless NEFT 24x7 facility to their customers. Banks may disseminate information on the extended timings for NEFT to all their customers.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6. This directive is issued under Section 10(2) read with Section 18 of the Payment and Settlement Systems Act, 2007 (Act 51 of 2007).</w:t>
      </w:r>
    </w:p>
    <w:p w:rsidR="0044166F" w:rsidRPr="006C748F" w:rsidRDefault="0044166F" w:rsidP="006C748F">
      <w:pPr>
        <w:spacing w:line="276" w:lineRule="auto"/>
        <w:jc w:val="both"/>
        <w:rPr>
          <w:rFonts w:ascii="Times New Roman" w:hAnsi="Times New Roman" w:cs="Times New Roman"/>
          <w:sz w:val="24"/>
          <w:szCs w:val="24"/>
        </w:rPr>
      </w:pPr>
    </w:p>
    <w:p w:rsidR="00DC014B" w:rsidRPr="004958B1" w:rsidRDefault="00DC014B" w:rsidP="006C748F">
      <w:pPr>
        <w:pStyle w:val="NoSpacing"/>
        <w:spacing w:line="276" w:lineRule="auto"/>
        <w:jc w:val="both"/>
        <w:rPr>
          <w:rFonts w:ascii="Times New Roman" w:hAnsi="Times New Roman" w:cs="Times New Roman"/>
          <w:b/>
          <w:color w:val="C00000"/>
          <w:sz w:val="24"/>
          <w:szCs w:val="24"/>
        </w:rPr>
      </w:pPr>
      <w:r w:rsidRPr="004958B1">
        <w:rPr>
          <w:rFonts w:ascii="Times New Roman" w:hAnsi="Times New Roman" w:cs="Times New Roman"/>
          <w:b/>
          <w:color w:val="C00000"/>
          <w:sz w:val="24"/>
          <w:szCs w:val="24"/>
        </w:rPr>
        <w:t xml:space="preserve">Notification Dated December 5th, 2019 </w:t>
      </w:r>
    </w:p>
    <w:p w:rsidR="004958B1" w:rsidRPr="004958B1" w:rsidRDefault="004958B1" w:rsidP="004958B1">
      <w:pPr>
        <w:pStyle w:val="NoSpacing"/>
        <w:spacing w:line="276" w:lineRule="auto"/>
        <w:jc w:val="both"/>
        <w:rPr>
          <w:rFonts w:ascii="Times New Roman" w:hAnsi="Times New Roman" w:cs="Times New Roman"/>
          <w:b/>
          <w:color w:val="C00000"/>
          <w:sz w:val="24"/>
          <w:szCs w:val="24"/>
        </w:rPr>
      </w:pPr>
      <w:r w:rsidRPr="004958B1">
        <w:rPr>
          <w:rFonts w:ascii="Times New Roman" w:hAnsi="Times New Roman" w:cs="Times New Roman"/>
          <w:b/>
          <w:color w:val="C00000"/>
          <w:sz w:val="24"/>
          <w:szCs w:val="24"/>
        </w:rPr>
        <w:t xml:space="preserve">RBI releases “Guidelines for ‘on tap’ Licensing of Small Finance Banks in the Private Sector”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The Reserve Bank of India today released on its website, “Guidelines for ‘on tap’ Licensing of Small Finance Banks in the Private Sector”.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Major changes from the earlier Guidelines on Small Finance Banks dated November 27, 2014, are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w:t>
      </w:r>
      <w:proofErr w:type="spellStart"/>
      <w:r w:rsidRPr="004958B1">
        <w:rPr>
          <w:rFonts w:ascii="Times New Roman" w:hAnsi="Times New Roman" w:cs="Times New Roman"/>
          <w:sz w:val="24"/>
          <w:szCs w:val="24"/>
        </w:rPr>
        <w:t>i</w:t>
      </w:r>
      <w:proofErr w:type="spellEnd"/>
      <w:r w:rsidRPr="004958B1">
        <w:rPr>
          <w:rFonts w:ascii="Times New Roman" w:hAnsi="Times New Roman" w:cs="Times New Roman"/>
          <w:sz w:val="24"/>
          <w:szCs w:val="24"/>
        </w:rPr>
        <w:t xml:space="preserve">) The licensing window will be open on-tap; (ii) minimum paid-up voting equity capital / net worth requirement shall be `200 crore; (iii) for Primary (Urban) Co-operative Banks (UCBs), desirous of voluntarily transiting into Small Finance Banks (SFBs) initial requirement of net worth shall be at `100 crore, which will have to be increased to `200 crore within five years </w:t>
      </w:r>
      <w:r w:rsidRPr="004958B1">
        <w:rPr>
          <w:rFonts w:ascii="Times New Roman" w:hAnsi="Times New Roman" w:cs="Times New Roman"/>
          <w:sz w:val="24"/>
          <w:szCs w:val="24"/>
        </w:rPr>
        <w:lastRenderedPageBreak/>
        <w:t xml:space="preserve">from the date of commencement of business. Incidentally, the net-worth of all SFBs currently in operation is in excess of `200 crore; (iv) SFBs will be given scheduled bank status immediately upon commencement of operations; (v) SFBs will have general permission to open banking outlets from the date of commencement of operations; (vi) Payments Banks can apply for conversion into SFB after five years of operations, if they are otherwise eligible as per these guidelines.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Background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It may be recalled that the Reserve Bank of India (RBI) had last issued guidelines for licensing of Small Finance Banks in the private sector on November 27, 2014. Consequently, the Reserve Bank issued in-principle approval to ten applicants and they have since established the banks. It was mentioned in the guidelines that after gaining experience in dealing with these banks, RBI would consider receiving the applications on a continuous basis. In the Second Bi-monthly Monetary Policy Statement, 2019-20 dated June 06, 2019, it was announced that the Draft Guidelines for ‘on tap’ Licensing of such banks will be issued. Accordingly, the draft guidelines were published on the RBI website on September 13, 2019 inviting comments from the stakeholders and members of the public. Taking into consideration the responses received, the final guidelines have now been issued. </w:t>
      </w:r>
    </w:p>
    <w:p w:rsidR="004958B1" w:rsidRPr="004958B1" w:rsidRDefault="004958B1" w:rsidP="004958B1">
      <w:pPr>
        <w:pStyle w:val="NoSpacing"/>
        <w:spacing w:line="276" w:lineRule="auto"/>
        <w:jc w:val="both"/>
        <w:rPr>
          <w:rFonts w:ascii="Times New Roman" w:hAnsi="Times New Roman" w:cs="Times New Roman"/>
          <w:sz w:val="24"/>
          <w:szCs w:val="24"/>
        </w:rPr>
      </w:pPr>
    </w:p>
    <w:p w:rsidR="002C73DA" w:rsidRDefault="002C73DA" w:rsidP="004958B1">
      <w:pPr>
        <w:pStyle w:val="NoSpacing"/>
        <w:spacing w:line="276" w:lineRule="auto"/>
        <w:jc w:val="both"/>
        <w:rPr>
          <w:rFonts w:ascii="Times New Roman" w:hAnsi="Times New Roman" w:cs="Times New Roman"/>
          <w:b/>
          <w:color w:val="C00000"/>
          <w:sz w:val="24"/>
          <w:szCs w:val="24"/>
        </w:rPr>
      </w:pPr>
    </w:p>
    <w:p w:rsidR="002C73DA" w:rsidRDefault="002C73DA" w:rsidP="004958B1">
      <w:pPr>
        <w:pStyle w:val="NoSpacing"/>
        <w:spacing w:line="276" w:lineRule="auto"/>
        <w:jc w:val="both"/>
        <w:rPr>
          <w:rFonts w:ascii="Times New Roman" w:hAnsi="Times New Roman" w:cs="Times New Roman"/>
          <w:b/>
          <w:color w:val="C00000"/>
          <w:sz w:val="24"/>
          <w:szCs w:val="24"/>
        </w:rPr>
      </w:pPr>
    </w:p>
    <w:p w:rsidR="002C73DA" w:rsidRDefault="002C73DA" w:rsidP="004958B1">
      <w:pPr>
        <w:pStyle w:val="NoSpacing"/>
        <w:spacing w:line="276" w:lineRule="auto"/>
        <w:jc w:val="both"/>
        <w:rPr>
          <w:rFonts w:ascii="Times New Roman" w:hAnsi="Times New Roman" w:cs="Times New Roman"/>
          <w:b/>
          <w:color w:val="C00000"/>
          <w:sz w:val="24"/>
          <w:szCs w:val="24"/>
        </w:rPr>
      </w:pPr>
    </w:p>
    <w:p w:rsidR="004958B1" w:rsidRPr="004958B1" w:rsidRDefault="004958B1" w:rsidP="004958B1">
      <w:pPr>
        <w:pStyle w:val="NoSpacing"/>
        <w:spacing w:line="276" w:lineRule="auto"/>
        <w:jc w:val="both"/>
        <w:rPr>
          <w:rFonts w:ascii="Times New Roman" w:hAnsi="Times New Roman" w:cs="Times New Roman"/>
          <w:b/>
          <w:color w:val="C00000"/>
          <w:sz w:val="24"/>
          <w:szCs w:val="24"/>
        </w:rPr>
      </w:pPr>
      <w:r w:rsidRPr="004958B1">
        <w:rPr>
          <w:rFonts w:ascii="Times New Roman" w:hAnsi="Times New Roman" w:cs="Times New Roman"/>
          <w:b/>
          <w:color w:val="C00000"/>
          <w:sz w:val="24"/>
          <w:szCs w:val="24"/>
        </w:rPr>
        <w:t xml:space="preserve">Notification Dated December 13, 2019 </w:t>
      </w:r>
    </w:p>
    <w:p w:rsidR="004958B1" w:rsidRPr="004958B1" w:rsidRDefault="004958B1" w:rsidP="004958B1">
      <w:pPr>
        <w:pStyle w:val="NoSpacing"/>
        <w:spacing w:line="276" w:lineRule="auto"/>
        <w:jc w:val="both"/>
        <w:rPr>
          <w:rFonts w:ascii="Times New Roman" w:hAnsi="Times New Roman" w:cs="Times New Roman"/>
          <w:b/>
          <w:color w:val="C00000"/>
          <w:sz w:val="24"/>
          <w:szCs w:val="24"/>
        </w:rPr>
      </w:pPr>
      <w:r w:rsidRPr="004958B1">
        <w:rPr>
          <w:rFonts w:ascii="Times New Roman" w:hAnsi="Times New Roman" w:cs="Times New Roman"/>
          <w:b/>
          <w:color w:val="C00000"/>
          <w:sz w:val="24"/>
          <w:szCs w:val="24"/>
        </w:rPr>
        <w:t>Liquidity Support (LS) Facility - NEFT 24 x 7</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As announced in the Statement on Developmental and Regulatory Policies dated October 4, 2019, in order to facilitate smooth settlement of NEFT transactions in the accounts of the member banks maintained with the Reserve Bank in a 24x7 environment, it has been decided to provide an additional collateralised intra-day liquidity facility, to be called Liquidity Support (LS).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2. The salient features of the scheme are as under: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a) LS facility will be available for facilitating NEFT settlements, on 24x7 basis. The LS facility will operate as per the same terms and conditions as the Intra-Day Liquidity (IDL) facility. </w:t>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b) All member banks eligible for the IDL facility will be eligible to avail of the LS facility. </w:t>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c) The limit for LS facility would be set by the Reserve Bank from time to time. Drawings under the LS facility shall be reckoned as part of the eligible IDL limit. </w:t>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d) The margin requirement on LS facility would be similar to that of IDL facility. </w:t>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e) Outstanding drawing at the end of the day under the LS facility will be automatically converted into borrowing under the Marginal Standing Facility (MSF). </w:t>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f) The above MSF borrowing reversal will take place along with other LAF operations as is currently being done.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g) The extant instructions on intra-day-liquidity and reversal of IDL shall continue, as hitherto. </w:t>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h) The Reserve Bank may review the facilities based on the experience gained in operationalizing the scheme.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0A484F" w:rsidRDefault="004958B1" w:rsidP="004958B1">
      <w:pPr>
        <w:pStyle w:val="NoSpacing"/>
        <w:spacing w:line="276" w:lineRule="auto"/>
        <w:jc w:val="both"/>
        <w:rPr>
          <w:rFonts w:ascii="Times New Roman" w:hAnsi="Times New Roman" w:cs="Times New Roman"/>
          <w:b/>
          <w:color w:val="C00000"/>
          <w:sz w:val="24"/>
          <w:szCs w:val="24"/>
        </w:rPr>
      </w:pPr>
      <w:r w:rsidRPr="000A484F">
        <w:rPr>
          <w:rFonts w:ascii="Times New Roman" w:hAnsi="Times New Roman" w:cs="Times New Roman"/>
          <w:b/>
          <w:color w:val="C00000"/>
          <w:sz w:val="24"/>
          <w:szCs w:val="24"/>
        </w:rPr>
        <w:t>NOTIFICATION DATED 23rd DECEMBER 2019 - REVIEW OF MASTER DIRECTIONS - NON-BANKING FINANCIAL COMPANY – PEER TO PEER LENDING PLATFORM (RESERVE BANK) DIRECTIONS, 2017</w:t>
      </w:r>
    </w:p>
    <w:p w:rsidR="000A484F" w:rsidRPr="004958B1" w:rsidRDefault="000A484F" w:rsidP="004958B1">
      <w:pPr>
        <w:pStyle w:val="NoSpacing"/>
        <w:spacing w:line="276" w:lineRule="auto"/>
        <w:jc w:val="both"/>
        <w:rPr>
          <w:rFonts w:ascii="Times New Roman" w:hAnsi="Times New Roman" w:cs="Times New Roman"/>
          <w:sz w:val="24"/>
          <w:szCs w:val="24"/>
        </w:rPr>
      </w:pPr>
    </w:p>
    <w:p w:rsid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Please refer to paragraphs 7 and 9 of Master Directions - Non-Banking Financial Company – Peer to Peer Lending Platform (Reserve Bank) Directions, 2017, dated October 04, 2017. 2. On a review, it has been decided that</w:t>
      </w:r>
    </w:p>
    <w:p w:rsidR="000A484F" w:rsidRPr="004958B1" w:rsidRDefault="000A484F" w:rsidP="004958B1">
      <w:pPr>
        <w:pStyle w:val="NoSpacing"/>
        <w:spacing w:line="276" w:lineRule="auto"/>
        <w:jc w:val="both"/>
        <w:rPr>
          <w:rFonts w:ascii="Times New Roman" w:hAnsi="Times New Roman" w:cs="Times New Roman"/>
          <w:sz w:val="24"/>
          <w:szCs w:val="24"/>
        </w:rPr>
      </w:pPr>
    </w:p>
    <w:p w:rsidR="000A484F" w:rsidRDefault="004958B1" w:rsidP="004958B1">
      <w:pPr>
        <w:pStyle w:val="NoSpacing"/>
        <w:numPr>
          <w:ilvl w:val="0"/>
          <w:numId w:val="1"/>
        </w:numPr>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The aggregate exposure of a lender to all borrowers at any point of time, across all P2P platforms, sha</w:t>
      </w:r>
      <w:r w:rsidR="000A484F">
        <w:rPr>
          <w:rFonts w:ascii="Times New Roman" w:hAnsi="Times New Roman" w:cs="Times New Roman"/>
          <w:sz w:val="24"/>
          <w:szCs w:val="24"/>
        </w:rPr>
        <w:t xml:space="preserve">ll be subject to a cap </w:t>
      </w:r>
      <w:proofErr w:type="gramStart"/>
      <w:r w:rsidR="000A484F">
        <w:rPr>
          <w:rFonts w:ascii="Times New Roman" w:hAnsi="Times New Roman" w:cs="Times New Roman"/>
          <w:sz w:val="24"/>
          <w:szCs w:val="24"/>
        </w:rPr>
        <w:t xml:space="preserve">of </w:t>
      </w:r>
      <w:r w:rsidRPr="004958B1">
        <w:rPr>
          <w:rFonts w:ascii="Times New Roman" w:hAnsi="Times New Roman" w:cs="Times New Roman"/>
          <w:sz w:val="24"/>
          <w:szCs w:val="24"/>
        </w:rPr>
        <w:t>₹ 50</w:t>
      </w:r>
      <w:proofErr w:type="gramEnd"/>
      <w:r w:rsidRPr="004958B1">
        <w:rPr>
          <w:rFonts w:ascii="Times New Roman" w:hAnsi="Times New Roman" w:cs="Times New Roman"/>
          <w:sz w:val="24"/>
          <w:szCs w:val="24"/>
        </w:rPr>
        <w:t>,00,000 provided that such investments of the lenders on P2P platforms are consistent with their net-worth.</w:t>
      </w:r>
    </w:p>
    <w:p w:rsidR="000A484F" w:rsidRDefault="004958B1" w:rsidP="00C36585">
      <w:pPr>
        <w:pStyle w:val="NoSpacing"/>
        <w:numPr>
          <w:ilvl w:val="0"/>
          <w:numId w:val="1"/>
        </w:numPr>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 xml:space="preserve">The lender investing more than ₹10,00,000 across P2P platforms shall produce a certificate to P2P platforms from a practicing Chartered Accountant certifying minimum net-worth </w:t>
      </w:r>
      <w:proofErr w:type="gramStart"/>
      <w:r w:rsidRPr="000A484F">
        <w:rPr>
          <w:rFonts w:ascii="Times New Roman" w:hAnsi="Times New Roman" w:cs="Times New Roman"/>
          <w:sz w:val="24"/>
          <w:szCs w:val="24"/>
        </w:rPr>
        <w:t>of ₹ 50</w:t>
      </w:r>
      <w:proofErr w:type="gramEnd"/>
      <w:r w:rsidRPr="000A484F">
        <w:rPr>
          <w:rFonts w:ascii="Times New Roman" w:hAnsi="Times New Roman" w:cs="Times New Roman"/>
          <w:sz w:val="24"/>
          <w:szCs w:val="24"/>
        </w:rPr>
        <w:t>,00,000. Further, all the lenders shall submit declaration to P2P platforms that they have understood all the risks associated with lending transactions and that P2P platform does not assure return of principal/payment of interest.</w:t>
      </w:r>
    </w:p>
    <w:p w:rsidR="004958B1" w:rsidRPr="000A484F" w:rsidRDefault="004958B1" w:rsidP="00C36585">
      <w:pPr>
        <w:pStyle w:val="NoSpacing"/>
        <w:numPr>
          <w:ilvl w:val="0"/>
          <w:numId w:val="1"/>
        </w:numPr>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Escrow accounts to be operated by bank promoted trustee for transfer of funds need not be mandatorily maintained with the bank which has promoted the trustee.</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0A484F" w:rsidRDefault="004958B1" w:rsidP="004958B1">
      <w:pPr>
        <w:pStyle w:val="NoSpacing"/>
        <w:spacing w:line="276" w:lineRule="auto"/>
        <w:jc w:val="both"/>
        <w:rPr>
          <w:rFonts w:ascii="Times New Roman" w:hAnsi="Times New Roman" w:cs="Times New Roman"/>
          <w:color w:val="C00000"/>
          <w:sz w:val="24"/>
          <w:szCs w:val="24"/>
        </w:rPr>
      </w:pPr>
    </w:p>
    <w:sectPr w:rsidR="004958B1" w:rsidRPr="000A484F" w:rsidSect="00836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037270"/>
    <w:multiLevelType w:val="hybridMultilevel"/>
    <w:tmpl w:val="E56CF396"/>
    <w:lvl w:ilvl="0" w:tplc="79FC573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E36"/>
    <w:rsid w:val="00021012"/>
    <w:rsid w:val="00037F9C"/>
    <w:rsid w:val="000750C5"/>
    <w:rsid w:val="000A484F"/>
    <w:rsid w:val="000B2D57"/>
    <w:rsid w:val="000B5EC7"/>
    <w:rsid w:val="00137AAF"/>
    <w:rsid w:val="00171501"/>
    <w:rsid w:val="00203CF8"/>
    <w:rsid w:val="00211CBB"/>
    <w:rsid w:val="00237CB6"/>
    <w:rsid w:val="002C73DA"/>
    <w:rsid w:val="00301975"/>
    <w:rsid w:val="0034244E"/>
    <w:rsid w:val="004315DF"/>
    <w:rsid w:val="0044166F"/>
    <w:rsid w:val="004958B1"/>
    <w:rsid w:val="004D74DC"/>
    <w:rsid w:val="00527838"/>
    <w:rsid w:val="0054452D"/>
    <w:rsid w:val="005667A0"/>
    <w:rsid w:val="00577916"/>
    <w:rsid w:val="00586895"/>
    <w:rsid w:val="006337CC"/>
    <w:rsid w:val="00654296"/>
    <w:rsid w:val="00674B2F"/>
    <w:rsid w:val="006C748F"/>
    <w:rsid w:val="006E7250"/>
    <w:rsid w:val="00734259"/>
    <w:rsid w:val="0073435D"/>
    <w:rsid w:val="00783BAF"/>
    <w:rsid w:val="00797A04"/>
    <w:rsid w:val="008341A3"/>
    <w:rsid w:val="00836383"/>
    <w:rsid w:val="008E3A4F"/>
    <w:rsid w:val="0092337F"/>
    <w:rsid w:val="0095144F"/>
    <w:rsid w:val="00961419"/>
    <w:rsid w:val="009B3101"/>
    <w:rsid w:val="009C5C0A"/>
    <w:rsid w:val="009E7B13"/>
    <w:rsid w:val="00A21D08"/>
    <w:rsid w:val="00A450A2"/>
    <w:rsid w:val="00A539DF"/>
    <w:rsid w:val="00AD0EC2"/>
    <w:rsid w:val="00B00D7E"/>
    <w:rsid w:val="00B22D9B"/>
    <w:rsid w:val="00B90664"/>
    <w:rsid w:val="00BD4689"/>
    <w:rsid w:val="00C36585"/>
    <w:rsid w:val="00C81FE2"/>
    <w:rsid w:val="00D54010"/>
    <w:rsid w:val="00D81F28"/>
    <w:rsid w:val="00DC014B"/>
    <w:rsid w:val="00E01557"/>
    <w:rsid w:val="00E82B91"/>
    <w:rsid w:val="00EF3E36"/>
    <w:rsid w:val="00F450E7"/>
    <w:rsid w:val="00F60917"/>
    <w:rsid w:val="00FA59F7"/>
    <w:rsid w:val="00FA7308"/>
    <w:rsid w:val="00FC4185"/>
    <w:rsid w:val="00FD42E9"/>
    <w:rsid w:val="00FD7D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C5E92-0B3F-41A8-B2D4-00593296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3E3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F3E36"/>
    <w:rPr>
      <w:color w:val="0563C1" w:themeColor="hyperlink"/>
      <w:u w:val="single"/>
    </w:rPr>
  </w:style>
  <w:style w:type="paragraph" w:styleId="NoSpacing">
    <w:name w:val="No Spacing"/>
    <w:uiPriority w:val="1"/>
    <w:qFormat/>
    <w:rsid w:val="00EF3E36"/>
    <w:pPr>
      <w:spacing w:after="0" w:line="240" w:lineRule="auto"/>
    </w:pPr>
  </w:style>
  <w:style w:type="table" w:styleId="TableGrid">
    <w:name w:val="Table Grid"/>
    <w:basedOn w:val="TableNormal"/>
    <w:uiPriority w:val="39"/>
    <w:rsid w:val="0083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0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bi.org.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6C55B-E50B-4A9C-819B-81FAB4FE8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3169</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 sekhar</dc:creator>
  <cp:keywords/>
  <dc:description/>
  <cp:lastModifiedBy>Priti Agarwal</cp:lastModifiedBy>
  <cp:revision>5</cp:revision>
  <cp:lastPrinted>2020-03-05T07:47:00Z</cp:lastPrinted>
  <dcterms:created xsi:type="dcterms:W3CDTF">2020-03-20T06:16:00Z</dcterms:created>
  <dcterms:modified xsi:type="dcterms:W3CDTF">2020-03-20T07:56:00Z</dcterms:modified>
</cp:coreProperties>
</file>